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08" w:rsidRPr="009B0308" w:rsidRDefault="009B0308" w:rsidP="009B0308">
      <w:pPr>
        <w:widowControl/>
        <w:autoSpaceDE/>
        <w:autoSpaceDN/>
        <w:ind w:firstLine="720"/>
        <w:jc w:val="both"/>
        <w:rPr>
          <w:rFonts w:ascii="Arial" w:hAnsi="Arial" w:cs="Arial"/>
          <w:b/>
          <w:bCs/>
          <w:color w:val="006666"/>
          <w:sz w:val="28"/>
          <w:szCs w:val="28"/>
          <w:lang w:val="en-US"/>
        </w:rPr>
      </w:pPr>
      <w:r w:rsidRPr="009B0308">
        <w:rPr>
          <w:rFonts w:ascii="Arial" w:hAnsi="Arial" w:cs="Arial"/>
          <w:b/>
          <w:bCs/>
          <w:color w:val="006666"/>
          <w:sz w:val="28"/>
          <w:szCs w:val="28"/>
          <w:lang w:val="en-US"/>
        </w:rPr>
        <w:t>MHRA: Nhắc lại về nguy cơ phản ứng có hại gây tàn tật và kéo dài hoặc không hồi phục liên quan đến kháng sinh fluoroquinolon</w:t>
      </w:r>
    </w:p>
    <w:p w:rsidR="009B0308" w:rsidRPr="009B0308" w:rsidRDefault="009B0308" w:rsidP="009B0308">
      <w:pPr>
        <w:widowControl/>
        <w:autoSpaceDE/>
        <w:autoSpaceDN/>
        <w:ind w:firstLine="720"/>
        <w:jc w:val="both"/>
        <w:rPr>
          <w:rFonts w:ascii="Arial" w:hAnsi="Arial" w:cs="Arial"/>
          <w:color w:val="999999"/>
          <w:sz w:val="16"/>
          <w:szCs w:val="16"/>
          <w:lang w:val="en-US"/>
        </w:rPr>
      </w:pPr>
    </w:p>
    <w:p w:rsidR="002E67B3" w:rsidRDefault="002E67B3" w:rsidP="009B0308">
      <w:pPr>
        <w:widowControl/>
        <w:autoSpaceDE/>
        <w:autoSpaceDN/>
        <w:ind w:firstLine="720"/>
        <w:jc w:val="both"/>
        <w:rPr>
          <w:bCs/>
          <w:color w:val="000000" w:themeColor="text1"/>
          <w:sz w:val="28"/>
          <w:szCs w:val="28"/>
          <w:lang w:val="en-US"/>
        </w:rPr>
        <w:sectPr w:rsidR="002E67B3">
          <w:headerReference w:type="default" r:id="rId9"/>
          <w:footerReference w:type="default" r:id="rId10"/>
          <w:pgSz w:w="11910" w:h="16840"/>
          <w:pgMar w:top="1360" w:right="1240" w:bottom="1100" w:left="1240" w:header="730" w:footer="918" w:gutter="0"/>
          <w:cols w:space="720"/>
        </w:sectPr>
      </w:pPr>
    </w:p>
    <w:p w:rsidR="009B0308" w:rsidRDefault="009B0308" w:rsidP="006C2C80">
      <w:pPr>
        <w:widowControl/>
        <w:autoSpaceDE/>
        <w:autoSpaceDN/>
        <w:spacing w:before="60" w:after="60"/>
        <w:ind w:firstLine="284"/>
        <w:jc w:val="both"/>
        <w:rPr>
          <w:bCs/>
          <w:color w:val="000000" w:themeColor="text1"/>
          <w:sz w:val="28"/>
          <w:szCs w:val="28"/>
          <w:lang w:val="en-US"/>
        </w:rPr>
      </w:pPr>
      <w:r w:rsidRPr="009B0308">
        <w:rPr>
          <w:bCs/>
          <w:color w:val="000000" w:themeColor="text1"/>
          <w:sz w:val="28"/>
          <w:szCs w:val="28"/>
          <w:lang w:val="en-US"/>
        </w:rPr>
        <w:lastRenderedPageBreak/>
        <w:t>Cơ quan Quản lý Dược phẩm Anh (</w:t>
      </w:r>
      <w:r w:rsidRPr="009B0308">
        <w:rPr>
          <w:b/>
          <w:bCs/>
          <w:color w:val="000000" w:themeColor="text1"/>
          <w:sz w:val="28"/>
          <w:szCs w:val="28"/>
          <w:lang w:val="en-US"/>
        </w:rPr>
        <w:t>MHRA</w:t>
      </w:r>
      <w:r w:rsidRPr="009B0308">
        <w:rPr>
          <w:bCs/>
          <w:color w:val="000000" w:themeColor="text1"/>
          <w:sz w:val="28"/>
          <w:szCs w:val="28"/>
          <w:lang w:val="en-US"/>
        </w:rPr>
        <w:t xml:space="preserve">) nhắc lại cảnh báo về nguy cơ xuất hiện phản ứng có hại kéo dài hoặc gây tàn tật không hồi phục liên quan đến kháng sinh fluoroquinolon (ciprofloxacin, delafloxacin, levofloxacin, moxifloxacin, ofloxacin). MHRA khuyến cáo không kê đơn fluoroquinolon trong trường hợp nhiễm khuẩn ở mức độ nhẹ tới trung bình (như đợt cấp của viêm phế quản mạn tính và bệnh phổi tắc nghẽn mạn tính), nhiễm khuẩn không nghiêm trọng hoặc có thể tự khỏi mà không cần điều trị, trừ khi không có kháng sinh phù hợp thay thế. MHRA khuyến cáo ngừng điều trị bằng fluoroquinolon khi bắt đầu xuất hiện dấu hiệu của phản ứng có hại, bao gồm </w:t>
      </w:r>
      <w:r w:rsidRPr="009B0308">
        <w:rPr>
          <w:bCs/>
          <w:color w:val="FF0000"/>
          <w:sz w:val="28"/>
          <w:szCs w:val="28"/>
          <w:lang w:val="en-US"/>
        </w:rPr>
        <w:t>đau hoặc viêm gân.</w:t>
      </w:r>
    </w:p>
    <w:p w:rsidR="002E67B3" w:rsidRPr="009B0308" w:rsidRDefault="002E67B3" w:rsidP="006C2C80">
      <w:pPr>
        <w:widowControl/>
        <w:autoSpaceDE/>
        <w:autoSpaceDN/>
        <w:spacing w:before="60" w:after="60"/>
        <w:jc w:val="center"/>
        <w:rPr>
          <w:color w:val="000000" w:themeColor="text1"/>
          <w:sz w:val="28"/>
          <w:szCs w:val="28"/>
          <w:lang w:val="en-US"/>
        </w:rPr>
      </w:pPr>
      <w:r>
        <w:rPr>
          <w:noProof/>
          <w:lang w:val="en-US"/>
        </w:rPr>
        <w:drawing>
          <wp:inline distT="0" distB="0" distL="0" distR="0" wp14:anchorId="040EC985" wp14:editId="4655AEF6">
            <wp:extent cx="2765425" cy="1538268"/>
            <wp:effectExtent l="0" t="0" r="0" b="5080"/>
            <wp:docPr id="16" name="Picture 16" descr="Nguy cơ hở van tim liên quan đến Fluoroquinolon đường toàn thân và đường  hít; Cân nhắc lựa chọn đầu tay khác ở bệnh nhân có yếu tố nguy cơ – B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uy cơ hở van tim liên quan đến Fluoroquinolon đường toàn thân và đường  hít; Cân nhắc lựa chọn đầu tay khác ở bệnh nhân có yếu tố nguy cơ – Bệ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5425" cy="1538268"/>
                    </a:xfrm>
                    <a:prstGeom prst="rect">
                      <a:avLst/>
                    </a:prstGeom>
                    <a:noFill/>
                    <a:ln>
                      <a:noFill/>
                    </a:ln>
                  </pic:spPr>
                </pic:pic>
              </a:graphicData>
            </a:graphic>
          </wp:inline>
        </w:drawing>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Fluoroquinolon dùng đường toàn thân và đường khí dung có nguy cơ gây ra phản ứng có hại nghiêm trọng, gây tàn tật kéo dài và không hồi phục. Những phản ứng này được ghi nhận trên các bệnh nhân trong mọi độ tuổi với bất kể</w:t>
      </w:r>
      <w:r w:rsidR="006C2C80">
        <w:rPr>
          <w:color w:val="000000" w:themeColor="text1"/>
          <w:sz w:val="28"/>
          <w:szCs w:val="28"/>
          <w:lang w:val="en-US"/>
        </w:rPr>
        <w:t xml:space="preserve"> các yếu tố nguy cơ kèm theo </w:t>
      </w:r>
      <w:r w:rsidRPr="009B0308">
        <w:rPr>
          <w:color w:val="000000" w:themeColor="text1"/>
          <w:sz w:val="28"/>
          <w:szCs w:val="28"/>
          <w:lang w:val="en-US"/>
        </w:rPr>
        <w:t xml:space="preserve">và có thể ảnh hưởng khác nhau trên các hệ cơ quan, bao gồm hệ cơ xương, thần kinh, tâm thần và giác quan. Một trong số đó là tổn thương gân (thông thường trên gân </w:t>
      </w:r>
      <w:r w:rsidRPr="009B0308">
        <w:rPr>
          <w:color w:val="FF0000"/>
          <w:sz w:val="28"/>
          <w:szCs w:val="28"/>
          <w:lang w:val="en-US"/>
        </w:rPr>
        <w:t>Achilles</w:t>
      </w:r>
      <w:r w:rsidRPr="009B0308">
        <w:rPr>
          <w:color w:val="000000" w:themeColor="text1"/>
          <w:sz w:val="28"/>
          <w:szCs w:val="28"/>
          <w:lang w:val="en-US"/>
        </w:rPr>
        <w:t xml:space="preserve"> nhưng các gân khác có thể bị ảnh </w:t>
      </w:r>
      <w:r w:rsidRPr="009B0308">
        <w:rPr>
          <w:color w:val="000000" w:themeColor="text1"/>
          <w:sz w:val="28"/>
          <w:szCs w:val="28"/>
          <w:lang w:val="en-US"/>
        </w:rPr>
        <w:lastRenderedPageBreak/>
        <w:t>hưởng) xảy ra trong vòng 48 gi</w:t>
      </w:r>
      <w:r w:rsidR="00D002B6">
        <w:rPr>
          <w:color w:val="000000" w:themeColor="text1"/>
          <w:sz w:val="28"/>
          <w:szCs w:val="28"/>
          <w:lang w:val="en-US"/>
        </w:rPr>
        <w:t xml:space="preserve">ờ kể từ khi bắt đầu dùng thuốc </w:t>
      </w:r>
      <w:r w:rsidRPr="009B0308">
        <w:rPr>
          <w:color w:val="000000" w:themeColor="text1"/>
          <w:sz w:val="28"/>
          <w:szCs w:val="28"/>
          <w:lang w:val="en-US"/>
        </w:rPr>
        <w:t>hoặc có thể xuất hiện muộn sau vài tháng và biểu hiện rõ rệt sau khi ngừng thuốc.</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Hiện nay, chưa có thuốc nào điều trị hiệu quả các những tác dụng không mong muốn được đề cập ở trên. Tuy nhiên, MHRA khuyến cáo cần đánh giá chính xác các triệu chứng này và dừng điều trị bằng fluoroquinolon ngay  khi bắt đầu xuất hiện các dấu hiệu của phản ứng có hại.</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Giới hạn chỉ định fluoroquinolon được ban hành năm 2019 nhằm giảm thiểu nguy cơ xuất hiện phản ứng có hại kể trên. Không nên kê đơn fluoroquinolon trong điều trị nhiễm khuẩn ở mức độ nhẹ đến trung bình (như đợt cấp của viêm phế quản mạn tính và bệnh phổi tắc nghẽn mạn tính), trừ khi không có không có kháng sinh phù hợp thay thế, bao gồm:</w:t>
      </w:r>
    </w:p>
    <w:p w:rsidR="009B0308" w:rsidRPr="009B0308" w:rsidRDefault="009B0308" w:rsidP="006C2C80">
      <w:pPr>
        <w:widowControl/>
        <w:autoSpaceDE/>
        <w:autoSpaceDN/>
        <w:spacing w:before="60" w:after="60"/>
        <w:ind w:firstLine="284"/>
        <w:jc w:val="both"/>
        <w:rPr>
          <w:color w:val="000000" w:themeColor="text1"/>
          <w:spacing w:val="4"/>
          <w:sz w:val="28"/>
          <w:szCs w:val="28"/>
          <w:lang w:val="en-US"/>
        </w:rPr>
      </w:pPr>
      <w:r w:rsidRPr="009B0308">
        <w:rPr>
          <w:color w:val="000000" w:themeColor="text1"/>
          <w:spacing w:val="4"/>
          <w:sz w:val="28"/>
          <w:szCs w:val="28"/>
          <w:lang w:val="en-US"/>
        </w:rPr>
        <w:t>- Đề kháng với những kháng sinh lựa chọn đầu tay thường được khuyến cáo.</w:t>
      </w:r>
    </w:p>
    <w:p w:rsidR="009B0308" w:rsidRPr="009B0308" w:rsidRDefault="009B0308" w:rsidP="006C2C80">
      <w:pPr>
        <w:widowControl/>
        <w:autoSpaceDE/>
        <w:autoSpaceDN/>
        <w:spacing w:before="60" w:after="60"/>
        <w:ind w:firstLine="284"/>
        <w:jc w:val="both"/>
        <w:rPr>
          <w:color w:val="000000" w:themeColor="text1"/>
          <w:spacing w:val="4"/>
          <w:sz w:val="28"/>
          <w:szCs w:val="28"/>
          <w:lang w:val="en-US"/>
        </w:rPr>
      </w:pPr>
      <w:r w:rsidRPr="009B0308">
        <w:rPr>
          <w:color w:val="000000" w:themeColor="text1"/>
          <w:spacing w:val="4"/>
          <w:sz w:val="28"/>
          <w:szCs w:val="28"/>
          <w:lang w:val="en-US"/>
        </w:rPr>
        <w:t>- Chống chỉ định với kháng sinh lựa chọn đầu tay thường được khuyến cáo.</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Ghi nhận các tác dụng không mong muốn và không thể tiếp tục điều trị với kháng sinh lựa chọn đầu tay được khuyến cáo.</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Thất bại điều trị với những kháng sinh lựa chọn đầu tay khác.</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b/>
          <w:bCs/>
          <w:color w:val="000000" w:themeColor="text1"/>
          <w:sz w:val="28"/>
          <w:szCs w:val="28"/>
          <w:lang w:val="en-US"/>
        </w:rPr>
        <w:t>Lời khuyên cho các nhân viên y tế</w:t>
      </w:r>
    </w:p>
    <w:p w:rsid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xml:space="preserve">Fluoroquinolon dùng đường toàn thân (đường uống, tiêm truyền hoặc khí dung) có thể gây ra những tác dụng không mong muốn kéo dài (có thể trong vài tháng hoặc nhiều năm), </w:t>
      </w:r>
      <w:r w:rsidRPr="009B0308">
        <w:rPr>
          <w:color w:val="000000" w:themeColor="text1"/>
          <w:sz w:val="28"/>
          <w:szCs w:val="28"/>
          <w:lang w:val="en-US"/>
        </w:rPr>
        <w:lastRenderedPageBreak/>
        <w:t>gây tàn tật không hồi phục, có thể ảnh hưởng trên nhiều hệ cơ quan và giác quan khác nhau.</w:t>
      </w:r>
    </w:p>
    <w:p w:rsidR="003F23E5" w:rsidRPr="009B0308" w:rsidRDefault="003F23E5" w:rsidP="006C2C80">
      <w:pPr>
        <w:widowControl/>
        <w:autoSpaceDE/>
        <w:autoSpaceDN/>
        <w:spacing w:before="60" w:after="60"/>
        <w:ind w:firstLine="284"/>
        <w:jc w:val="both"/>
        <w:rPr>
          <w:color w:val="000000" w:themeColor="text1"/>
          <w:sz w:val="28"/>
          <w:szCs w:val="28"/>
          <w:lang w:val="en-US"/>
        </w:rPr>
      </w:pPr>
      <w:r>
        <w:rPr>
          <w:noProof/>
          <w:lang w:val="en-US"/>
        </w:rPr>
        <w:drawing>
          <wp:inline distT="0" distB="0" distL="0" distR="0" wp14:anchorId="0758D5A6" wp14:editId="4658A2D0">
            <wp:extent cx="2495550" cy="1838325"/>
            <wp:effectExtent l="0" t="0" r="0" b="9525"/>
            <wp:docPr id="18" name="Picture 18" descr="Sử dụng Fluoroquinolone ở trẻ em, nên hay không? | Pharm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ử dụng Fluoroquinolone ở trẻ em, nên hay không? | Pharm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838325"/>
                    </a:xfrm>
                    <a:prstGeom prst="rect">
                      <a:avLst/>
                    </a:prstGeom>
                    <a:noFill/>
                    <a:ln>
                      <a:noFill/>
                    </a:ln>
                  </pic:spPr>
                </pic:pic>
              </a:graphicData>
            </a:graphic>
          </wp:inline>
        </w:drawing>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Khuyến cáo bệnh nhân ngừng sử dụng thuốc và liên hệ với nhân viên y tế nếu ghi nhận xuất hiện các dấu hiệu của phản ứng có hại nghiêm trọng bao gồm viêm gân hoặc đứt gân, đau cơ, yếu cơ, đau khớp, sưng khớp hoặc những ảnh hưởng trên thần kinh ngoại vi và thần kinh trung ương.</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Không nên kê đơn fluoroquinolon trong những trường hợp sau:</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 Với nhiễm trùng khôn</w:t>
      </w:r>
      <w:r w:rsidR="00D002B6">
        <w:rPr>
          <w:color w:val="000000" w:themeColor="text1"/>
          <w:sz w:val="28"/>
          <w:szCs w:val="28"/>
          <w:lang w:val="en-US"/>
        </w:rPr>
        <w:t xml:space="preserve">g nghiêm trọng, có thể tự khỏi </w:t>
      </w:r>
      <w:r w:rsidRPr="009B0308">
        <w:rPr>
          <w:color w:val="000000" w:themeColor="text1"/>
          <w:sz w:val="28"/>
          <w:szCs w:val="28"/>
          <w:lang w:val="en-US"/>
        </w:rPr>
        <w:t>h</w:t>
      </w:r>
      <w:r w:rsidR="00D002B6">
        <w:rPr>
          <w:color w:val="000000" w:themeColor="text1"/>
          <w:sz w:val="28"/>
          <w:szCs w:val="28"/>
          <w:lang w:val="en-US"/>
        </w:rPr>
        <w:t xml:space="preserve">oặc không có vi khuẩn xâm nhập </w:t>
      </w:r>
      <w:r w:rsidRPr="009B0308">
        <w:rPr>
          <w:color w:val="000000" w:themeColor="text1"/>
          <w:sz w:val="28"/>
          <w:szCs w:val="28"/>
          <w:lang w:val="en-US"/>
        </w:rPr>
        <w:t>như viêm tuyến tiền liệt không do vi khuẩn (mạn tính).</w:t>
      </w:r>
    </w:p>
    <w:p w:rsidR="003F23E5" w:rsidRDefault="009B0308" w:rsidP="003F23E5">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 Với nhiễm khuẩn mức độ từ nhẹ đến trung bình (như đợt cấp viêm phế quản mạn tính và bệnh phổi tắc nghẽn mạn tính) trừ khi không có kháng sinh phù hợp thay thế.</w:t>
      </w:r>
    </w:p>
    <w:p w:rsidR="009B0308" w:rsidRPr="009B0308" w:rsidRDefault="003F23E5" w:rsidP="003F23E5">
      <w:pPr>
        <w:widowControl/>
        <w:autoSpaceDE/>
        <w:autoSpaceDN/>
        <w:spacing w:before="60" w:after="60"/>
        <w:ind w:firstLine="284"/>
        <w:jc w:val="both"/>
        <w:rPr>
          <w:color w:val="000000" w:themeColor="text1"/>
          <w:sz w:val="28"/>
          <w:szCs w:val="28"/>
          <w:lang w:val="en-US"/>
        </w:rPr>
      </w:pPr>
      <w:r>
        <w:rPr>
          <w:color w:val="000000" w:themeColor="text1"/>
          <w:sz w:val="28"/>
          <w:szCs w:val="28"/>
          <w:lang w:val="en-US"/>
        </w:rPr>
        <w:t xml:space="preserve">- </w:t>
      </w:r>
      <w:r w:rsidR="009B0308" w:rsidRPr="009B0308">
        <w:rPr>
          <w:color w:val="000000" w:themeColor="text1"/>
          <w:sz w:val="28"/>
          <w:szCs w:val="28"/>
          <w:lang w:val="en-US"/>
        </w:rPr>
        <w:t>Không kê ciprofloxacin và levofloxacin với viêm bàng quang không phức tạp trừ khi không có kháng sinh phù hợp thay thế.</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 Tránh sử dụng fluoroquinolon trên những bệnh nhân đã có tiền sử xuất hiện những phản ứng có hại nghiêm trọng với kháng sinh quinolon (acid nalidixic) và fluoroquinolon.</w:t>
      </w:r>
    </w:p>
    <w:p w:rsidR="009B0308" w:rsidRP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lastRenderedPageBreak/>
        <w:t> - Thận trọng khi kê đơn fluoroquinolon cho bệnh nhân trên 60 tuổi, bệnh nhân suy thận hoặc ghép tạng do nguy cơ tổn thương gân cao hơn những bệnh nhân khác.</w:t>
      </w:r>
    </w:p>
    <w:p w:rsidR="009B0308" w:rsidRDefault="009B0308" w:rsidP="006C2C80">
      <w:pPr>
        <w:widowControl/>
        <w:autoSpaceDE/>
        <w:autoSpaceDN/>
        <w:spacing w:before="60" w:after="60"/>
        <w:ind w:firstLine="284"/>
        <w:jc w:val="both"/>
        <w:rPr>
          <w:color w:val="000000" w:themeColor="text1"/>
          <w:sz w:val="28"/>
          <w:szCs w:val="28"/>
          <w:lang w:val="en-US"/>
        </w:rPr>
      </w:pPr>
      <w:r w:rsidRPr="009B0308">
        <w:rPr>
          <w:color w:val="000000" w:themeColor="text1"/>
          <w:sz w:val="28"/>
          <w:szCs w:val="28"/>
          <w:lang w:val="en-US"/>
        </w:rPr>
        <w:t> - Tránh sử dụng đồng thời corticosteroid với các kháng sinh fluoroquinolon do nguy cơ làm trầm trọng hơn tình trạng viêm gân và đứt gân gây ra bởi fluoroquinolon.</w:t>
      </w:r>
    </w:p>
    <w:p w:rsidR="00A86EBE" w:rsidRDefault="00A86EBE" w:rsidP="006C2C80">
      <w:pPr>
        <w:widowControl/>
        <w:autoSpaceDE/>
        <w:autoSpaceDN/>
        <w:spacing w:before="60" w:after="60"/>
        <w:ind w:firstLine="284"/>
        <w:jc w:val="both"/>
        <w:rPr>
          <w:color w:val="000000" w:themeColor="text1"/>
          <w:sz w:val="28"/>
          <w:szCs w:val="28"/>
          <w:lang w:val="en-US"/>
        </w:rPr>
      </w:pPr>
      <w:r>
        <w:rPr>
          <w:color w:val="000000" w:themeColor="text1"/>
          <w:sz w:val="28"/>
          <w:szCs w:val="28"/>
          <w:lang w:val="en-US"/>
        </w:rPr>
        <w:t>Phân loại và phổ tác dụng của các kháng sinh nhóm fluoroquinolon thể hiện trong Bảng 1.</w:t>
      </w:r>
    </w:p>
    <w:p w:rsidR="00215CA6" w:rsidRPr="00215CA6" w:rsidRDefault="00215CA6" w:rsidP="00215CA6">
      <w:pPr>
        <w:widowControl/>
        <w:autoSpaceDE/>
        <w:autoSpaceDN/>
        <w:spacing w:before="60" w:after="60"/>
        <w:ind w:firstLine="284"/>
        <w:jc w:val="center"/>
        <w:rPr>
          <w:b/>
          <w:i/>
          <w:color w:val="000000" w:themeColor="text1"/>
          <w:sz w:val="28"/>
          <w:szCs w:val="28"/>
          <w:lang w:val="en-US"/>
        </w:rPr>
      </w:pPr>
      <w:r w:rsidRPr="00215CA6">
        <w:rPr>
          <w:b/>
          <w:i/>
          <w:color w:val="000000" w:themeColor="text1"/>
          <w:sz w:val="28"/>
          <w:szCs w:val="28"/>
          <w:lang w:val="en-US"/>
        </w:rPr>
        <w:t>Bảng  1: Phân loại kháng sinh nhóm quinolon</w:t>
      </w:r>
    </w:p>
    <w:tbl>
      <w:tblPr>
        <w:tblW w:w="4644" w:type="dxa"/>
        <w:shd w:val="clear" w:color="auto" w:fill="EAFFFF"/>
        <w:tblLayout w:type="fixed"/>
        <w:tblCellMar>
          <w:left w:w="0" w:type="dxa"/>
          <w:right w:w="0" w:type="dxa"/>
        </w:tblCellMar>
        <w:tblLook w:val="04A0" w:firstRow="1" w:lastRow="0" w:firstColumn="1" w:lastColumn="0" w:noHBand="0" w:noVBand="1"/>
      </w:tblPr>
      <w:tblGrid>
        <w:gridCol w:w="683"/>
        <w:gridCol w:w="1835"/>
        <w:gridCol w:w="2126"/>
      </w:tblGrid>
      <w:tr w:rsidR="00215CA6" w:rsidRPr="00215CA6" w:rsidTr="00BB5FEF">
        <w:tc>
          <w:tcPr>
            <w:tcW w:w="683" w:type="dxa"/>
            <w:tcBorders>
              <w:top w:val="single" w:sz="8" w:space="0" w:color="auto"/>
              <w:left w:val="single" w:sz="8" w:space="0" w:color="auto"/>
              <w:bottom w:val="single" w:sz="8" w:space="0" w:color="auto"/>
              <w:right w:val="single" w:sz="8" w:space="0" w:color="auto"/>
            </w:tcBorders>
            <w:shd w:val="clear" w:color="auto" w:fill="008080"/>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b/>
                <w:bCs/>
                <w:color w:val="FFFFFF"/>
                <w:sz w:val="26"/>
                <w:szCs w:val="26"/>
                <w:bdr w:val="none" w:sz="0" w:space="0" w:color="auto" w:frame="1"/>
                <w:lang w:val="en-US"/>
              </w:rPr>
              <w:t>Thế hệ</w:t>
            </w:r>
          </w:p>
        </w:tc>
        <w:tc>
          <w:tcPr>
            <w:tcW w:w="1835" w:type="dxa"/>
            <w:tcBorders>
              <w:top w:val="single" w:sz="8" w:space="0" w:color="auto"/>
              <w:left w:val="nil"/>
              <w:bottom w:val="single" w:sz="8" w:space="0" w:color="auto"/>
              <w:right w:val="single" w:sz="8" w:space="0" w:color="auto"/>
            </w:tcBorders>
            <w:shd w:val="clear" w:color="auto" w:fill="008080"/>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b/>
                <w:bCs/>
                <w:color w:val="FFFFFF"/>
                <w:sz w:val="26"/>
                <w:szCs w:val="26"/>
                <w:bdr w:val="none" w:sz="0" w:space="0" w:color="auto" w:frame="1"/>
                <w:lang w:val="en-US"/>
              </w:rPr>
              <w:t>Kháng sinh</w:t>
            </w:r>
          </w:p>
        </w:tc>
        <w:tc>
          <w:tcPr>
            <w:tcW w:w="2126" w:type="dxa"/>
            <w:tcBorders>
              <w:top w:val="single" w:sz="8" w:space="0" w:color="auto"/>
              <w:left w:val="nil"/>
              <w:bottom w:val="single" w:sz="8" w:space="0" w:color="auto"/>
              <w:right w:val="single" w:sz="8" w:space="0" w:color="auto"/>
            </w:tcBorders>
            <w:shd w:val="clear" w:color="auto" w:fill="008080"/>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b/>
                <w:bCs/>
                <w:color w:val="FFFFFF"/>
                <w:sz w:val="26"/>
                <w:szCs w:val="26"/>
                <w:bdr w:val="none" w:sz="0" w:space="0" w:color="auto" w:frame="1"/>
                <w:lang w:val="en-US"/>
              </w:rPr>
              <w:t>Phổ kháng khuẩn</w:t>
            </w:r>
          </w:p>
        </w:tc>
      </w:tr>
      <w:tr w:rsidR="00215CA6" w:rsidRPr="00215CA6" w:rsidTr="00BB5FEF">
        <w:tc>
          <w:tcPr>
            <w:tcW w:w="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color w:val="000000"/>
                <w:sz w:val="26"/>
                <w:szCs w:val="26"/>
                <w:bdr w:val="none" w:sz="0" w:space="0" w:color="auto" w:frame="1"/>
                <w:lang w:val="en-US"/>
              </w:rPr>
              <w:t>1</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Acid nalidixic</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Cinoxacin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Trực khuẩn (-)</w:t>
            </w:r>
            <w:r w:rsidRPr="00BB5FEF">
              <w:rPr>
                <w:color w:val="000000"/>
                <w:sz w:val="26"/>
                <w:szCs w:val="26"/>
                <w:bdr w:val="none" w:sz="0" w:space="0" w:color="auto" w:frame="1"/>
                <w:lang w:val="en-US"/>
              </w:rPr>
              <w:t xml:space="preserve"> </w:t>
            </w:r>
            <w:r w:rsidRPr="00215CA6">
              <w:rPr>
                <w:color w:val="000000"/>
                <w:sz w:val="26"/>
                <w:szCs w:val="26"/>
                <w:bdr w:val="none" w:sz="0" w:space="0" w:color="auto" w:frame="1"/>
                <w:lang w:val="en-US"/>
              </w:rPr>
              <w:t>Enterobacteriace</w:t>
            </w:r>
          </w:p>
        </w:tc>
      </w:tr>
      <w:tr w:rsidR="00215CA6" w:rsidRPr="00215CA6" w:rsidTr="00BB5FEF">
        <w:tc>
          <w:tcPr>
            <w:tcW w:w="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color w:val="000000"/>
                <w:sz w:val="26"/>
                <w:szCs w:val="26"/>
                <w:bdr w:val="none" w:sz="0" w:space="0" w:color="auto" w:frame="1"/>
                <w:lang w:val="en-US"/>
              </w:rPr>
              <w:t>2</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Lome</w:t>
            </w:r>
            <w:bookmarkStart w:id="0" w:name="_GoBack"/>
            <w:bookmarkEnd w:id="0"/>
            <w:r w:rsidRPr="00215CA6">
              <w:rPr>
                <w:color w:val="000000"/>
                <w:sz w:val="26"/>
                <w:szCs w:val="26"/>
                <w:bdr w:val="none" w:sz="0" w:space="0" w:color="auto" w:frame="1"/>
                <w:lang w:val="en-US"/>
              </w:rPr>
              <w:t>floxacin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Norfloxacin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Enoxacin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Ofloxacin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Ciprofloxacin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Trực khuẩn (-) Enterobacteriace</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Vi khuẩn không điển hình</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P. aeruginosa</w:t>
            </w:r>
          </w:p>
        </w:tc>
      </w:tr>
      <w:tr w:rsidR="00215CA6" w:rsidRPr="00215CA6" w:rsidTr="00BB5FEF">
        <w:tc>
          <w:tcPr>
            <w:tcW w:w="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color w:val="000000"/>
                <w:sz w:val="26"/>
                <w:szCs w:val="26"/>
                <w:bdr w:val="none" w:sz="0" w:space="0" w:color="auto" w:frame="1"/>
                <w:lang w:val="en-US"/>
              </w:rPr>
              <w:t>3</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Levofloxacin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Sparfloxacin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Gatifloxacin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Trực khuẩn (-) Enterobacteriace</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Vi khuẩn không điển hình</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P. aeruginosa</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Gram (+)</w:t>
            </w:r>
          </w:p>
        </w:tc>
      </w:tr>
      <w:tr w:rsidR="00215CA6" w:rsidRPr="00215CA6" w:rsidTr="00BB5FEF">
        <w:tc>
          <w:tcPr>
            <w:tcW w:w="6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center"/>
              <w:rPr>
                <w:rFonts w:ascii="Arial" w:hAnsi="Arial" w:cs="Arial"/>
                <w:color w:val="000000"/>
                <w:sz w:val="26"/>
                <w:szCs w:val="26"/>
                <w:lang w:val="en-US"/>
              </w:rPr>
            </w:pPr>
            <w:r w:rsidRPr="00215CA6">
              <w:rPr>
                <w:color w:val="000000"/>
                <w:sz w:val="26"/>
                <w:szCs w:val="26"/>
                <w:bdr w:val="none" w:sz="0" w:space="0" w:color="auto" w:frame="1"/>
                <w:lang w:val="en-US"/>
              </w:rPr>
              <w:t>4</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Trovafloxacin</w:t>
            </w:r>
          </w:p>
          <w:p w:rsidR="00215CA6" w:rsidRPr="00215CA6" w:rsidRDefault="00215CA6" w:rsidP="00215CA6">
            <w:pPr>
              <w:widowControl/>
              <w:autoSpaceDE/>
              <w:autoSpaceDN/>
              <w:spacing w:line="198" w:lineRule="atLeast"/>
              <w:rPr>
                <w:rFonts w:ascii="Arial" w:hAnsi="Arial" w:cs="Arial"/>
                <w:color w:val="000000"/>
                <w:sz w:val="26"/>
                <w:szCs w:val="26"/>
                <w:lang w:val="en-US"/>
              </w:rPr>
            </w:pPr>
            <w:r w:rsidRPr="00215CA6">
              <w:rPr>
                <w:color w:val="000000"/>
                <w:sz w:val="26"/>
                <w:szCs w:val="26"/>
                <w:bdr w:val="none" w:sz="0" w:space="0" w:color="auto" w:frame="1"/>
                <w:lang w:val="en-US"/>
              </w:rPr>
              <w:t>Moxifloxacin</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Trực khuẩn (-) Enterobacteriace</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Vi khuẩn không điển hình</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P. aeruginosa</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Gram (+): MSSA, streptococci</w:t>
            </w:r>
          </w:p>
          <w:p w:rsidR="00215CA6" w:rsidRPr="00215CA6" w:rsidRDefault="00215CA6" w:rsidP="00215CA6">
            <w:pPr>
              <w:widowControl/>
              <w:autoSpaceDE/>
              <w:autoSpaceDN/>
              <w:spacing w:line="198" w:lineRule="atLeast"/>
              <w:jc w:val="both"/>
              <w:rPr>
                <w:rFonts w:ascii="Arial" w:hAnsi="Arial" w:cs="Arial"/>
                <w:color w:val="000000"/>
                <w:sz w:val="26"/>
                <w:szCs w:val="26"/>
                <w:lang w:val="en-US"/>
              </w:rPr>
            </w:pPr>
            <w:r w:rsidRPr="00215CA6">
              <w:rPr>
                <w:color w:val="000000"/>
                <w:sz w:val="26"/>
                <w:szCs w:val="26"/>
                <w:bdr w:val="none" w:sz="0" w:space="0" w:color="auto" w:frame="1"/>
                <w:lang w:val="en-US"/>
              </w:rPr>
              <w:t>Vi khuẩn kị khí</w:t>
            </w:r>
          </w:p>
        </w:tc>
      </w:tr>
    </w:tbl>
    <w:p w:rsidR="00215CA6" w:rsidRPr="009B0308" w:rsidRDefault="00215CA6" w:rsidP="006C2C80">
      <w:pPr>
        <w:widowControl/>
        <w:autoSpaceDE/>
        <w:autoSpaceDN/>
        <w:spacing w:before="60" w:after="60"/>
        <w:ind w:firstLine="284"/>
        <w:jc w:val="both"/>
        <w:rPr>
          <w:color w:val="000000" w:themeColor="text1"/>
          <w:sz w:val="28"/>
          <w:szCs w:val="28"/>
          <w:lang w:val="en-US"/>
        </w:rPr>
      </w:pPr>
    </w:p>
    <w:p w:rsidR="002E67B3" w:rsidRDefault="002E67B3" w:rsidP="00D16C33">
      <w:pPr>
        <w:tabs>
          <w:tab w:val="left" w:pos="2350"/>
        </w:tabs>
        <w:spacing w:line="312" w:lineRule="auto"/>
        <w:ind w:right="-68" w:firstLine="720"/>
        <w:rPr>
          <w:sz w:val="28"/>
          <w:szCs w:val="28"/>
          <w:lang w:val="en-US"/>
        </w:rPr>
        <w:sectPr w:rsidR="002E67B3" w:rsidSect="002E67B3">
          <w:type w:val="continuous"/>
          <w:pgSz w:w="11910" w:h="16840"/>
          <w:pgMar w:top="1360" w:right="1240" w:bottom="1100" w:left="1240" w:header="730" w:footer="918" w:gutter="0"/>
          <w:cols w:num="2" w:space="720"/>
        </w:sectPr>
      </w:pPr>
    </w:p>
    <w:p w:rsidR="00B258AE" w:rsidRPr="00D16C33" w:rsidRDefault="00C56B5A" w:rsidP="00D16C33">
      <w:pPr>
        <w:tabs>
          <w:tab w:val="left" w:pos="2350"/>
        </w:tabs>
        <w:spacing w:line="312" w:lineRule="auto"/>
        <w:ind w:right="-68" w:firstLine="720"/>
        <w:rPr>
          <w:sz w:val="28"/>
          <w:szCs w:val="28"/>
          <w:lang w:val="en-US"/>
        </w:rPr>
      </w:pPr>
      <w:r w:rsidRPr="00D16C33">
        <w:rPr>
          <w:sz w:val="28"/>
          <w:szCs w:val="28"/>
          <w:lang w:val="en-US"/>
        </w:rPr>
        <w:lastRenderedPageBreak/>
        <w:tab/>
      </w:r>
    </w:p>
    <w:sectPr w:rsidR="00B258AE" w:rsidRPr="00D16C33" w:rsidSect="002E67B3">
      <w:type w:val="continuous"/>
      <w:pgSz w:w="11910" w:h="16840"/>
      <w:pgMar w:top="1360" w:right="1240" w:bottom="1100" w:left="1240" w:header="73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B1" w:rsidRDefault="00090DB1">
      <w:r>
        <w:separator/>
      </w:r>
    </w:p>
  </w:endnote>
  <w:endnote w:type="continuationSeparator" w:id="0">
    <w:p w:rsidR="00090DB1" w:rsidRDefault="0009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6C2C80">
    <w:pPr>
      <w:pStyle w:val="BodyText"/>
      <w:spacing w:line="14" w:lineRule="auto"/>
      <w:ind w:left="0"/>
      <w:jc w:val="left"/>
      <w:rPr>
        <w:sz w:val="20"/>
      </w:rPr>
    </w:pPr>
    <w:r>
      <w:rPr>
        <w:noProof/>
        <w:lang w:val="en-US"/>
      </w:rPr>
      <mc:AlternateContent>
        <mc:Choice Requires="wps">
          <w:drawing>
            <wp:anchor distT="0" distB="0" distL="114300" distR="114300" simplePos="0" relativeHeight="487465984" behindDoc="1" locked="0" layoutInCell="1" allowOverlap="1" wp14:anchorId="346A4DDE" wp14:editId="6D3A0953">
              <wp:simplePos x="0" y="0"/>
              <wp:positionH relativeFrom="page">
                <wp:posOffset>904875</wp:posOffset>
              </wp:positionH>
              <wp:positionV relativeFrom="page">
                <wp:posOffset>9944100</wp:posOffset>
              </wp:positionV>
              <wp:extent cx="6276975" cy="3619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1014B9">
                          <w:pPr>
                            <w:spacing w:before="10"/>
                            <w:ind w:left="20"/>
                            <w:rPr>
                              <w:sz w:val="20"/>
                            </w:rPr>
                          </w:pPr>
                          <w:r>
                            <w:rPr>
                              <w:sz w:val="20"/>
                              <w:lang w:val="en-US"/>
                            </w:rPr>
                            <w:t>Nguồn</w:t>
                          </w:r>
                          <w:r w:rsidR="006D4A29">
                            <w:rPr>
                              <w:sz w:val="20"/>
                            </w:rPr>
                            <w:t>:</w:t>
                          </w:r>
                          <w:r w:rsidR="006D4A29">
                            <w:rPr>
                              <w:spacing w:val="-2"/>
                              <w:sz w:val="20"/>
                            </w:rPr>
                            <w:t xml:space="preserve"> </w:t>
                          </w:r>
                          <w:r w:rsidR="006C2C80" w:rsidRPr="006C2C80">
                            <w:rPr>
                              <w:sz w:val="20"/>
                            </w:rPr>
                            <w:t>Fluoroquinolone antibiotics: reminder of the risk of disabling and potentially long-lasting or irreversible side effects - GOV.UK (www.gov.uk)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71.25pt;margin-top:783pt;width:494.25pt;height:28.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VjOsgIAALI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" filled="f" stroked="f">
              <v:textbox inset="0,0,0,0">
                <w:txbxContent>
                  <w:p w:rsidR="00B258AE" w:rsidRDefault="001014B9">
                    <w:pPr>
                      <w:spacing w:before="10"/>
                      <w:ind w:left="20"/>
                      <w:rPr>
                        <w:sz w:val="20"/>
                      </w:rPr>
                    </w:pPr>
                    <w:r>
                      <w:rPr>
                        <w:sz w:val="20"/>
                        <w:lang w:val="en-US"/>
                      </w:rPr>
                      <w:t>Nguồn</w:t>
                    </w:r>
                    <w:r w:rsidR="006D4A29">
                      <w:rPr>
                        <w:sz w:val="20"/>
                      </w:rPr>
                      <w:t>:</w:t>
                    </w:r>
                    <w:r w:rsidR="006D4A29">
                      <w:rPr>
                        <w:spacing w:val="-2"/>
                        <w:sz w:val="20"/>
                      </w:rPr>
                      <w:t xml:space="preserve"> </w:t>
                    </w:r>
                    <w:r w:rsidR="006C2C80" w:rsidRPr="006C2C80">
                      <w:rPr>
                        <w:sz w:val="20"/>
                      </w:rPr>
                      <w:t>Fluoroquinolone antibiotics: reminder of the risk of disabling and potentially long-lasting or irreversible side effects - GOV.UK (www.gov.uk)</w:t>
                    </w:r>
                  </w:p>
                </w:txbxContent>
              </v:textbox>
              <w10:wrap anchorx="page" anchory="page"/>
            </v:shape>
          </w:pict>
        </mc:Fallback>
      </mc:AlternateContent>
    </w:r>
    <w:r w:rsidR="009B0308">
      <w:rPr>
        <w:noProof/>
        <w:lang w:val="en-US"/>
      </w:rPr>
      <mc:AlternateContent>
        <mc:Choice Requires="wps">
          <w:drawing>
            <wp:anchor distT="0" distB="0" distL="114300" distR="114300" simplePos="0" relativeHeight="487465472" behindDoc="1" locked="0" layoutInCell="1" allowOverlap="1" wp14:anchorId="6E1BA56A" wp14:editId="35A5CB05">
              <wp:simplePos x="0" y="0"/>
              <wp:positionH relativeFrom="page">
                <wp:posOffset>896620</wp:posOffset>
              </wp:positionH>
              <wp:positionV relativeFrom="page">
                <wp:posOffset>9932035</wp:posOffset>
              </wp:positionV>
              <wp:extent cx="5768975" cy="6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70.6pt;margin-top:782.05pt;width:454.25pt;height:.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" fillcolor="black" stroked="f">
              <w10:wrap anchorx="page" anchory="page"/>
            </v:rect>
          </w:pict>
        </mc:Fallback>
      </mc:AlternateContent>
    </w:r>
    <w:r w:rsidR="009B0308">
      <w:rPr>
        <w:noProof/>
        <w:lang w:val="en-US"/>
      </w:rPr>
      <mc:AlternateContent>
        <mc:Choice Requires="wps">
          <w:drawing>
            <wp:anchor distT="0" distB="0" distL="114300" distR="114300" simplePos="0" relativeHeight="487466496" behindDoc="1" locked="0" layoutInCell="1" allowOverlap="1" wp14:anchorId="1CF30866" wp14:editId="3295F491">
              <wp:simplePos x="0" y="0"/>
              <wp:positionH relativeFrom="page">
                <wp:posOffset>6545580</wp:posOffset>
              </wp:positionH>
              <wp:positionV relativeFrom="page">
                <wp:posOffset>9943465</wp:posOffset>
              </wp:positionV>
              <wp:extent cx="139700" cy="1657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6D4A29">
                          <w:pPr>
                            <w:spacing w:before="10"/>
                            <w:ind w:left="60"/>
                            <w:rPr>
                              <w:sz w:val="20"/>
                            </w:rPr>
                          </w:pPr>
                          <w:r>
                            <w:fldChar w:fldCharType="begin"/>
                          </w:r>
                          <w:r>
                            <w:rPr>
                              <w:w w:val="99"/>
                              <w:sz w:val="20"/>
                            </w:rPr>
                            <w:instrText xml:space="preserve"> PAGE </w:instrText>
                          </w:r>
                          <w:r>
                            <w:fldChar w:fldCharType="separate"/>
                          </w:r>
                          <w:r w:rsidR="00BB5FEF">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15.4pt;margin-top:782.95pt;width:11pt;height:13.0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75rwIAALE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" filled="f" stroked="f">
              <v:textbox inset="0,0,0,0">
                <w:txbxContent>
                  <w:p w:rsidR="00B258AE" w:rsidRDefault="006D4A29">
                    <w:pPr>
                      <w:spacing w:before="10"/>
                      <w:ind w:left="60"/>
                      <w:rPr>
                        <w:sz w:val="20"/>
                      </w:rPr>
                    </w:pPr>
                    <w:r>
                      <w:fldChar w:fldCharType="begin"/>
                    </w:r>
                    <w:r>
                      <w:rPr>
                        <w:w w:val="99"/>
                        <w:sz w:val="20"/>
                      </w:rPr>
                      <w:instrText xml:space="preserve"> PAGE </w:instrText>
                    </w:r>
                    <w:r>
                      <w:fldChar w:fldCharType="separate"/>
                    </w:r>
                    <w:r w:rsidR="00BB5FEF">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B1" w:rsidRDefault="00090DB1">
      <w:r>
        <w:separator/>
      </w:r>
    </w:p>
  </w:footnote>
  <w:footnote w:type="continuationSeparator" w:id="0">
    <w:p w:rsidR="00090DB1" w:rsidRDefault="00090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9B0308">
    <w:pPr>
      <w:pStyle w:val="BodyText"/>
      <w:spacing w:line="14" w:lineRule="auto"/>
      <w:ind w:left="0"/>
      <w:jc w:val="left"/>
      <w:rPr>
        <w:sz w:val="20"/>
      </w:rPr>
    </w:pPr>
    <w:r>
      <w:rPr>
        <w:noProof/>
        <w:lang w:val="en-US"/>
      </w:rPr>
      <mc:AlternateContent>
        <mc:Choice Requires="wps">
          <w:drawing>
            <wp:anchor distT="0" distB="0" distL="114300" distR="114300" simplePos="0" relativeHeight="487464960" behindDoc="1" locked="0" layoutInCell="1" allowOverlap="1" wp14:anchorId="32D9F82E" wp14:editId="6F12CA42">
              <wp:simplePos x="0" y="0"/>
              <wp:positionH relativeFrom="page">
                <wp:posOffset>999490</wp:posOffset>
              </wp:positionH>
              <wp:positionV relativeFrom="page">
                <wp:posOffset>447675</wp:posOffset>
              </wp:positionV>
              <wp:extent cx="6181725" cy="165735"/>
              <wp:effectExtent l="0" t="0"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9B0308">
                          <w:pPr>
                            <w:spacing w:before="10"/>
                            <w:ind w:left="20"/>
                            <w:rPr>
                              <w:sz w:val="20"/>
                            </w:rPr>
                          </w:pPr>
                          <w:r>
                            <w:rPr>
                              <w:sz w:val="20"/>
                              <w:lang w:val="en-US"/>
                            </w:rPr>
                            <w:t>N</w:t>
                          </w:r>
                          <w:r w:rsidRPr="009B0308">
                            <w:rPr>
                              <w:sz w:val="20"/>
                            </w:rPr>
                            <w:t>guy cơ phản ứng có hại gây tàn tật và kéo dài hoặc không hồi phục liên quan đến kháng sinh fluoroquinolon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78.7pt;margin-top:35.25pt;width:486.75pt;height:13.0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strQIAAKs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" filled="f" stroked="f">
              <v:textbox inset="0,0,0,0">
                <w:txbxContent>
                  <w:p w:rsidR="00B258AE" w:rsidRDefault="009B0308">
                    <w:pPr>
                      <w:spacing w:before="10"/>
                      <w:ind w:left="20"/>
                      <w:rPr>
                        <w:sz w:val="20"/>
                      </w:rPr>
                    </w:pPr>
                    <w:r>
                      <w:rPr>
                        <w:sz w:val="20"/>
                        <w:lang w:val="en-US"/>
                      </w:rPr>
                      <w:t>N</w:t>
                    </w:r>
                    <w:r w:rsidRPr="009B0308">
                      <w:rPr>
                        <w:sz w:val="20"/>
                      </w:rPr>
                      <w:t>guy cơ phản ứng có hại gây tàn tật và kéo dài hoặc không hồi phục liên quan đến kháng sinh fluoroquinolon</w:t>
                    </w:r>
                  </w:p>
                </w:txbxContent>
              </v:textbox>
              <w10:wrap anchorx="page" anchory="page"/>
            </v:shape>
          </w:pict>
        </mc:Fallback>
      </mc:AlternateContent>
    </w:r>
    <w:r>
      <w:rPr>
        <w:noProof/>
        <w:lang w:val="en-US"/>
      </w:rPr>
      <mc:AlternateContent>
        <mc:Choice Requires="wps">
          <w:drawing>
            <wp:anchor distT="0" distB="0" distL="114300" distR="114300" simplePos="0" relativeHeight="487464448" behindDoc="1" locked="0" layoutInCell="1" allowOverlap="1" wp14:anchorId="3EE6461B" wp14:editId="231C44AA">
              <wp:simplePos x="0" y="0"/>
              <wp:positionH relativeFrom="page">
                <wp:posOffset>896620</wp:posOffset>
              </wp:positionH>
              <wp:positionV relativeFrom="page">
                <wp:posOffset>636905</wp:posOffset>
              </wp:positionV>
              <wp:extent cx="5768975" cy="63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70.6pt;margin-top:50.15pt;width:454.25pt;height:.5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" fillcolor="black"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49"/>
    <w:multiLevelType w:val="hybridMultilevel"/>
    <w:tmpl w:val="C43844B2"/>
    <w:lvl w:ilvl="0" w:tplc="BCEE801E">
      <w:numFmt w:val="bullet"/>
      <w:lvlText w:val="•"/>
      <w:lvlJc w:val="left"/>
      <w:pPr>
        <w:ind w:left="809" w:hanging="144"/>
      </w:pPr>
      <w:rPr>
        <w:rFonts w:ascii="Times New Roman" w:eastAsia="Times New Roman" w:hAnsi="Times New Roman" w:cs="Times New Roman" w:hint="default"/>
        <w:w w:val="100"/>
        <w:sz w:val="24"/>
        <w:szCs w:val="24"/>
        <w:lang w:val="vi" w:eastAsia="en-US" w:bidi="ar-SA"/>
      </w:rPr>
    </w:lvl>
    <w:lvl w:ilvl="1" w:tplc="77D2502A">
      <w:numFmt w:val="bullet"/>
      <w:lvlText w:val="•"/>
      <w:lvlJc w:val="left"/>
      <w:pPr>
        <w:ind w:left="1693" w:hanging="144"/>
      </w:pPr>
      <w:rPr>
        <w:rFonts w:hint="default"/>
        <w:lang w:val="vi" w:eastAsia="en-US" w:bidi="ar-SA"/>
      </w:rPr>
    </w:lvl>
    <w:lvl w:ilvl="2" w:tplc="F0522398">
      <w:numFmt w:val="bullet"/>
      <w:lvlText w:val="•"/>
      <w:lvlJc w:val="left"/>
      <w:pPr>
        <w:ind w:left="2581" w:hanging="144"/>
      </w:pPr>
      <w:rPr>
        <w:rFonts w:hint="default"/>
        <w:lang w:val="vi" w:eastAsia="en-US" w:bidi="ar-SA"/>
      </w:rPr>
    </w:lvl>
    <w:lvl w:ilvl="3" w:tplc="E7183E8E">
      <w:numFmt w:val="bullet"/>
      <w:lvlText w:val="•"/>
      <w:lvlJc w:val="left"/>
      <w:pPr>
        <w:ind w:left="3468" w:hanging="144"/>
      </w:pPr>
      <w:rPr>
        <w:rFonts w:hint="default"/>
        <w:lang w:val="vi" w:eastAsia="en-US" w:bidi="ar-SA"/>
      </w:rPr>
    </w:lvl>
    <w:lvl w:ilvl="4" w:tplc="5AA24B74">
      <w:numFmt w:val="bullet"/>
      <w:lvlText w:val="•"/>
      <w:lvlJc w:val="left"/>
      <w:pPr>
        <w:ind w:left="4356" w:hanging="144"/>
      </w:pPr>
      <w:rPr>
        <w:rFonts w:hint="default"/>
        <w:lang w:val="vi" w:eastAsia="en-US" w:bidi="ar-SA"/>
      </w:rPr>
    </w:lvl>
    <w:lvl w:ilvl="5" w:tplc="19F8B304">
      <w:numFmt w:val="bullet"/>
      <w:lvlText w:val="•"/>
      <w:lvlJc w:val="left"/>
      <w:pPr>
        <w:ind w:left="5243" w:hanging="144"/>
      </w:pPr>
      <w:rPr>
        <w:rFonts w:hint="default"/>
        <w:lang w:val="vi" w:eastAsia="en-US" w:bidi="ar-SA"/>
      </w:rPr>
    </w:lvl>
    <w:lvl w:ilvl="6" w:tplc="0FCC59D6">
      <w:numFmt w:val="bullet"/>
      <w:lvlText w:val="•"/>
      <w:lvlJc w:val="left"/>
      <w:pPr>
        <w:ind w:left="6131" w:hanging="144"/>
      </w:pPr>
      <w:rPr>
        <w:rFonts w:hint="default"/>
        <w:lang w:val="vi" w:eastAsia="en-US" w:bidi="ar-SA"/>
      </w:rPr>
    </w:lvl>
    <w:lvl w:ilvl="7" w:tplc="C78265EA">
      <w:numFmt w:val="bullet"/>
      <w:lvlText w:val="•"/>
      <w:lvlJc w:val="left"/>
      <w:pPr>
        <w:ind w:left="7018" w:hanging="144"/>
      </w:pPr>
      <w:rPr>
        <w:rFonts w:hint="default"/>
        <w:lang w:val="vi" w:eastAsia="en-US" w:bidi="ar-SA"/>
      </w:rPr>
    </w:lvl>
    <w:lvl w:ilvl="8" w:tplc="5DEC9FA2">
      <w:numFmt w:val="bullet"/>
      <w:lvlText w:val="•"/>
      <w:lvlJc w:val="left"/>
      <w:pPr>
        <w:ind w:left="7906" w:hanging="144"/>
      </w:pPr>
      <w:rPr>
        <w:rFonts w:hint="default"/>
        <w:lang w:val="vi" w:eastAsia="en-US" w:bidi="ar-SA"/>
      </w:rPr>
    </w:lvl>
  </w:abstractNum>
  <w:abstractNum w:abstractNumId="1">
    <w:nsid w:val="3A4D571E"/>
    <w:multiLevelType w:val="hybridMultilevel"/>
    <w:tmpl w:val="D77082FA"/>
    <w:lvl w:ilvl="0" w:tplc="1BF4B210">
      <w:start w:val="10"/>
      <w:numFmt w:val="decimal"/>
      <w:lvlText w:val="%1."/>
      <w:lvlJc w:val="left"/>
      <w:pPr>
        <w:ind w:left="200" w:hanging="339"/>
        <w:jc w:val="left"/>
      </w:pPr>
      <w:rPr>
        <w:rFonts w:ascii="Times New Roman" w:eastAsia="Times New Roman" w:hAnsi="Times New Roman" w:cs="Times New Roman" w:hint="default"/>
        <w:b/>
        <w:bCs/>
        <w:w w:val="100"/>
        <w:sz w:val="24"/>
        <w:szCs w:val="24"/>
        <w:lang w:val="vi" w:eastAsia="en-US" w:bidi="ar-SA"/>
      </w:rPr>
    </w:lvl>
    <w:lvl w:ilvl="1" w:tplc="9FA27874">
      <w:numFmt w:val="bullet"/>
      <w:lvlText w:val="•"/>
      <w:lvlJc w:val="left"/>
      <w:pPr>
        <w:ind w:left="1101" w:hanging="339"/>
      </w:pPr>
      <w:rPr>
        <w:rFonts w:hint="default"/>
        <w:lang w:val="vi" w:eastAsia="en-US" w:bidi="ar-SA"/>
      </w:rPr>
    </w:lvl>
    <w:lvl w:ilvl="2" w:tplc="7DD8517E">
      <w:numFmt w:val="bullet"/>
      <w:lvlText w:val="•"/>
      <w:lvlJc w:val="left"/>
      <w:pPr>
        <w:ind w:left="2003" w:hanging="339"/>
      </w:pPr>
      <w:rPr>
        <w:rFonts w:hint="default"/>
        <w:lang w:val="vi" w:eastAsia="en-US" w:bidi="ar-SA"/>
      </w:rPr>
    </w:lvl>
    <w:lvl w:ilvl="3" w:tplc="DE200E66">
      <w:numFmt w:val="bullet"/>
      <w:lvlText w:val="•"/>
      <w:lvlJc w:val="left"/>
      <w:pPr>
        <w:ind w:left="2904" w:hanging="339"/>
      </w:pPr>
      <w:rPr>
        <w:rFonts w:hint="default"/>
        <w:lang w:val="vi" w:eastAsia="en-US" w:bidi="ar-SA"/>
      </w:rPr>
    </w:lvl>
    <w:lvl w:ilvl="4" w:tplc="E460B3F4">
      <w:numFmt w:val="bullet"/>
      <w:lvlText w:val="•"/>
      <w:lvlJc w:val="left"/>
      <w:pPr>
        <w:ind w:left="3806" w:hanging="339"/>
      </w:pPr>
      <w:rPr>
        <w:rFonts w:hint="default"/>
        <w:lang w:val="vi" w:eastAsia="en-US" w:bidi="ar-SA"/>
      </w:rPr>
    </w:lvl>
    <w:lvl w:ilvl="5" w:tplc="4E22EBF6">
      <w:numFmt w:val="bullet"/>
      <w:lvlText w:val="•"/>
      <w:lvlJc w:val="left"/>
      <w:pPr>
        <w:ind w:left="4707" w:hanging="339"/>
      </w:pPr>
      <w:rPr>
        <w:rFonts w:hint="default"/>
        <w:lang w:val="vi" w:eastAsia="en-US" w:bidi="ar-SA"/>
      </w:rPr>
    </w:lvl>
    <w:lvl w:ilvl="6" w:tplc="BEF68B28">
      <w:numFmt w:val="bullet"/>
      <w:lvlText w:val="•"/>
      <w:lvlJc w:val="left"/>
      <w:pPr>
        <w:ind w:left="5609" w:hanging="339"/>
      </w:pPr>
      <w:rPr>
        <w:rFonts w:hint="default"/>
        <w:lang w:val="vi" w:eastAsia="en-US" w:bidi="ar-SA"/>
      </w:rPr>
    </w:lvl>
    <w:lvl w:ilvl="7" w:tplc="E08CEA9A">
      <w:numFmt w:val="bullet"/>
      <w:lvlText w:val="•"/>
      <w:lvlJc w:val="left"/>
      <w:pPr>
        <w:ind w:left="6510" w:hanging="339"/>
      </w:pPr>
      <w:rPr>
        <w:rFonts w:hint="default"/>
        <w:lang w:val="vi" w:eastAsia="en-US" w:bidi="ar-SA"/>
      </w:rPr>
    </w:lvl>
    <w:lvl w:ilvl="8" w:tplc="D0503B6A">
      <w:numFmt w:val="bullet"/>
      <w:lvlText w:val="•"/>
      <w:lvlJc w:val="left"/>
      <w:pPr>
        <w:ind w:left="7412" w:hanging="339"/>
      </w:pPr>
      <w:rPr>
        <w:rFonts w:hint="default"/>
        <w:lang w:val="vi" w:eastAsia="en-US" w:bidi="ar-SA"/>
      </w:rPr>
    </w:lvl>
  </w:abstractNum>
  <w:abstractNum w:abstractNumId="2">
    <w:nsid w:val="4F972AD8"/>
    <w:multiLevelType w:val="hybridMultilevel"/>
    <w:tmpl w:val="D41CE6C8"/>
    <w:lvl w:ilvl="0" w:tplc="2BFA6146">
      <w:start w:val="6"/>
      <w:numFmt w:val="decimal"/>
      <w:lvlText w:val="%1."/>
      <w:lvlJc w:val="left"/>
      <w:pPr>
        <w:ind w:left="200" w:hanging="252"/>
        <w:jc w:val="left"/>
      </w:pPr>
      <w:rPr>
        <w:rFonts w:ascii="Times New Roman" w:eastAsia="Times New Roman" w:hAnsi="Times New Roman" w:cs="Times New Roman" w:hint="default"/>
        <w:b/>
        <w:bCs/>
        <w:w w:val="100"/>
        <w:sz w:val="24"/>
        <w:szCs w:val="24"/>
        <w:lang w:val="vi" w:eastAsia="en-US" w:bidi="ar-SA"/>
      </w:rPr>
    </w:lvl>
    <w:lvl w:ilvl="1" w:tplc="3C563302">
      <w:numFmt w:val="bullet"/>
      <w:lvlText w:val="•"/>
      <w:lvlJc w:val="left"/>
      <w:pPr>
        <w:ind w:left="1101" w:hanging="252"/>
      </w:pPr>
      <w:rPr>
        <w:rFonts w:hint="default"/>
        <w:lang w:val="vi" w:eastAsia="en-US" w:bidi="ar-SA"/>
      </w:rPr>
    </w:lvl>
    <w:lvl w:ilvl="2" w:tplc="2924BCB4">
      <w:numFmt w:val="bullet"/>
      <w:lvlText w:val="•"/>
      <w:lvlJc w:val="left"/>
      <w:pPr>
        <w:ind w:left="2003" w:hanging="252"/>
      </w:pPr>
      <w:rPr>
        <w:rFonts w:hint="default"/>
        <w:lang w:val="vi" w:eastAsia="en-US" w:bidi="ar-SA"/>
      </w:rPr>
    </w:lvl>
    <w:lvl w:ilvl="3" w:tplc="CEE2465A">
      <w:numFmt w:val="bullet"/>
      <w:lvlText w:val="•"/>
      <w:lvlJc w:val="left"/>
      <w:pPr>
        <w:ind w:left="2904" w:hanging="252"/>
      </w:pPr>
      <w:rPr>
        <w:rFonts w:hint="default"/>
        <w:lang w:val="vi" w:eastAsia="en-US" w:bidi="ar-SA"/>
      </w:rPr>
    </w:lvl>
    <w:lvl w:ilvl="4" w:tplc="51F6C4E6">
      <w:numFmt w:val="bullet"/>
      <w:lvlText w:val="•"/>
      <w:lvlJc w:val="left"/>
      <w:pPr>
        <w:ind w:left="3806" w:hanging="252"/>
      </w:pPr>
      <w:rPr>
        <w:rFonts w:hint="default"/>
        <w:lang w:val="vi" w:eastAsia="en-US" w:bidi="ar-SA"/>
      </w:rPr>
    </w:lvl>
    <w:lvl w:ilvl="5" w:tplc="557C0D22">
      <w:numFmt w:val="bullet"/>
      <w:lvlText w:val="•"/>
      <w:lvlJc w:val="left"/>
      <w:pPr>
        <w:ind w:left="4707" w:hanging="252"/>
      </w:pPr>
      <w:rPr>
        <w:rFonts w:hint="default"/>
        <w:lang w:val="vi" w:eastAsia="en-US" w:bidi="ar-SA"/>
      </w:rPr>
    </w:lvl>
    <w:lvl w:ilvl="6" w:tplc="3D1E2306">
      <w:numFmt w:val="bullet"/>
      <w:lvlText w:val="•"/>
      <w:lvlJc w:val="left"/>
      <w:pPr>
        <w:ind w:left="5609" w:hanging="252"/>
      </w:pPr>
      <w:rPr>
        <w:rFonts w:hint="default"/>
        <w:lang w:val="vi" w:eastAsia="en-US" w:bidi="ar-SA"/>
      </w:rPr>
    </w:lvl>
    <w:lvl w:ilvl="7" w:tplc="1270C41E">
      <w:numFmt w:val="bullet"/>
      <w:lvlText w:val="•"/>
      <w:lvlJc w:val="left"/>
      <w:pPr>
        <w:ind w:left="6510" w:hanging="252"/>
      </w:pPr>
      <w:rPr>
        <w:rFonts w:hint="default"/>
        <w:lang w:val="vi" w:eastAsia="en-US" w:bidi="ar-SA"/>
      </w:rPr>
    </w:lvl>
    <w:lvl w:ilvl="8" w:tplc="6BF4EF46">
      <w:numFmt w:val="bullet"/>
      <w:lvlText w:val="•"/>
      <w:lvlJc w:val="left"/>
      <w:pPr>
        <w:ind w:left="7412" w:hanging="252"/>
      </w:pPr>
      <w:rPr>
        <w:rFonts w:hint="default"/>
        <w:lang w:val="vi" w:eastAsia="en-US" w:bidi="ar-SA"/>
      </w:rPr>
    </w:lvl>
  </w:abstractNum>
  <w:abstractNum w:abstractNumId="3">
    <w:nsid w:val="512B26D3"/>
    <w:multiLevelType w:val="hybridMultilevel"/>
    <w:tmpl w:val="3B8E36B4"/>
    <w:lvl w:ilvl="0" w:tplc="FB627E40">
      <w:start w:val="19"/>
      <w:numFmt w:val="decimal"/>
      <w:lvlText w:val="%1."/>
      <w:lvlJc w:val="left"/>
      <w:pPr>
        <w:ind w:left="308" w:hanging="348"/>
        <w:jc w:val="left"/>
      </w:pPr>
      <w:rPr>
        <w:rFonts w:ascii="Times New Roman" w:eastAsia="Times New Roman" w:hAnsi="Times New Roman" w:cs="Times New Roman" w:hint="default"/>
        <w:b/>
        <w:bCs/>
        <w:w w:val="100"/>
        <w:sz w:val="24"/>
        <w:szCs w:val="24"/>
        <w:lang w:val="vi" w:eastAsia="en-US" w:bidi="ar-SA"/>
      </w:rPr>
    </w:lvl>
    <w:lvl w:ilvl="1" w:tplc="CC4409E2">
      <w:numFmt w:val="bullet"/>
      <w:lvlText w:val="•"/>
      <w:lvlJc w:val="left"/>
      <w:pPr>
        <w:ind w:left="1212" w:hanging="348"/>
      </w:pPr>
      <w:rPr>
        <w:rFonts w:hint="default"/>
        <w:lang w:val="vi" w:eastAsia="en-US" w:bidi="ar-SA"/>
      </w:rPr>
    </w:lvl>
    <w:lvl w:ilvl="2" w:tplc="7B98E640">
      <w:numFmt w:val="bullet"/>
      <w:lvlText w:val="•"/>
      <w:lvlJc w:val="left"/>
      <w:pPr>
        <w:ind w:left="2125" w:hanging="348"/>
      </w:pPr>
      <w:rPr>
        <w:rFonts w:hint="default"/>
        <w:lang w:val="vi" w:eastAsia="en-US" w:bidi="ar-SA"/>
      </w:rPr>
    </w:lvl>
    <w:lvl w:ilvl="3" w:tplc="A6660A18">
      <w:numFmt w:val="bullet"/>
      <w:lvlText w:val="•"/>
      <w:lvlJc w:val="left"/>
      <w:pPr>
        <w:ind w:left="3037" w:hanging="348"/>
      </w:pPr>
      <w:rPr>
        <w:rFonts w:hint="default"/>
        <w:lang w:val="vi" w:eastAsia="en-US" w:bidi="ar-SA"/>
      </w:rPr>
    </w:lvl>
    <w:lvl w:ilvl="4" w:tplc="9D684F58">
      <w:numFmt w:val="bullet"/>
      <w:lvlText w:val="•"/>
      <w:lvlJc w:val="left"/>
      <w:pPr>
        <w:ind w:left="3950" w:hanging="348"/>
      </w:pPr>
      <w:rPr>
        <w:rFonts w:hint="default"/>
        <w:lang w:val="vi" w:eastAsia="en-US" w:bidi="ar-SA"/>
      </w:rPr>
    </w:lvl>
    <w:lvl w:ilvl="5" w:tplc="6414ABCE">
      <w:numFmt w:val="bullet"/>
      <w:lvlText w:val="•"/>
      <w:lvlJc w:val="left"/>
      <w:pPr>
        <w:ind w:left="4863" w:hanging="348"/>
      </w:pPr>
      <w:rPr>
        <w:rFonts w:hint="default"/>
        <w:lang w:val="vi" w:eastAsia="en-US" w:bidi="ar-SA"/>
      </w:rPr>
    </w:lvl>
    <w:lvl w:ilvl="6" w:tplc="68445508">
      <w:numFmt w:val="bullet"/>
      <w:lvlText w:val="•"/>
      <w:lvlJc w:val="left"/>
      <w:pPr>
        <w:ind w:left="5775" w:hanging="348"/>
      </w:pPr>
      <w:rPr>
        <w:rFonts w:hint="default"/>
        <w:lang w:val="vi" w:eastAsia="en-US" w:bidi="ar-SA"/>
      </w:rPr>
    </w:lvl>
    <w:lvl w:ilvl="7" w:tplc="8FEA7346">
      <w:numFmt w:val="bullet"/>
      <w:lvlText w:val="•"/>
      <w:lvlJc w:val="left"/>
      <w:pPr>
        <w:ind w:left="6688" w:hanging="348"/>
      </w:pPr>
      <w:rPr>
        <w:rFonts w:hint="default"/>
        <w:lang w:val="vi" w:eastAsia="en-US" w:bidi="ar-SA"/>
      </w:rPr>
    </w:lvl>
    <w:lvl w:ilvl="8" w:tplc="B3BE0064">
      <w:numFmt w:val="bullet"/>
      <w:lvlText w:val="•"/>
      <w:lvlJc w:val="left"/>
      <w:pPr>
        <w:ind w:left="7601" w:hanging="348"/>
      </w:pPr>
      <w:rPr>
        <w:rFonts w:hint="default"/>
        <w:lang w:val="vi" w:eastAsia="en-US" w:bidi="ar-SA"/>
      </w:rPr>
    </w:lvl>
  </w:abstractNum>
  <w:abstractNum w:abstractNumId="4">
    <w:nsid w:val="572E40E5"/>
    <w:multiLevelType w:val="hybridMultilevel"/>
    <w:tmpl w:val="C2745A2E"/>
    <w:lvl w:ilvl="0" w:tplc="FA62176E">
      <w:start w:val="12"/>
      <w:numFmt w:val="decimal"/>
      <w:lvlText w:val="%1."/>
      <w:lvlJc w:val="left"/>
      <w:pPr>
        <w:ind w:left="308" w:hanging="370"/>
        <w:jc w:val="left"/>
      </w:pPr>
      <w:rPr>
        <w:rFonts w:ascii="Times New Roman" w:eastAsia="Times New Roman" w:hAnsi="Times New Roman" w:cs="Times New Roman" w:hint="default"/>
        <w:b/>
        <w:bCs/>
        <w:w w:val="100"/>
        <w:sz w:val="24"/>
        <w:szCs w:val="24"/>
        <w:lang w:val="vi" w:eastAsia="en-US" w:bidi="ar-SA"/>
      </w:rPr>
    </w:lvl>
    <w:lvl w:ilvl="1" w:tplc="31CA71FC">
      <w:numFmt w:val="bullet"/>
      <w:lvlText w:val="•"/>
      <w:lvlJc w:val="left"/>
      <w:pPr>
        <w:ind w:left="1212" w:hanging="370"/>
      </w:pPr>
      <w:rPr>
        <w:rFonts w:hint="default"/>
        <w:lang w:val="vi" w:eastAsia="en-US" w:bidi="ar-SA"/>
      </w:rPr>
    </w:lvl>
    <w:lvl w:ilvl="2" w:tplc="687A96F8">
      <w:numFmt w:val="bullet"/>
      <w:lvlText w:val="•"/>
      <w:lvlJc w:val="left"/>
      <w:pPr>
        <w:ind w:left="2125" w:hanging="370"/>
      </w:pPr>
      <w:rPr>
        <w:rFonts w:hint="default"/>
        <w:lang w:val="vi" w:eastAsia="en-US" w:bidi="ar-SA"/>
      </w:rPr>
    </w:lvl>
    <w:lvl w:ilvl="3" w:tplc="35764D54">
      <w:numFmt w:val="bullet"/>
      <w:lvlText w:val="•"/>
      <w:lvlJc w:val="left"/>
      <w:pPr>
        <w:ind w:left="3037" w:hanging="370"/>
      </w:pPr>
      <w:rPr>
        <w:rFonts w:hint="default"/>
        <w:lang w:val="vi" w:eastAsia="en-US" w:bidi="ar-SA"/>
      </w:rPr>
    </w:lvl>
    <w:lvl w:ilvl="4" w:tplc="E1365B78">
      <w:numFmt w:val="bullet"/>
      <w:lvlText w:val="•"/>
      <w:lvlJc w:val="left"/>
      <w:pPr>
        <w:ind w:left="3950" w:hanging="370"/>
      </w:pPr>
      <w:rPr>
        <w:rFonts w:hint="default"/>
        <w:lang w:val="vi" w:eastAsia="en-US" w:bidi="ar-SA"/>
      </w:rPr>
    </w:lvl>
    <w:lvl w:ilvl="5" w:tplc="A6CA0722">
      <w:numFmt w:val="bullet"/>
      <w:lvlText w:val="•"/>
      <w:lvlJc w:val="left"/>
      <w:pPr>
        <w:ind w:left="4863" w:hanging="370"/>
      </w:pPr>
      <w:rPr>
        <w:rFonts w:hint="default"/>
        <w:lang w:val="vi" w:eastAsia="en-US" w:bidi="ar-SA"/>
      </w:rPr>
    </w:lvl>
    <w:lvl w:ilvl="6" w:tplc="F99C66B6">
      <w:numFmt w:val="bullet"/>
      <w:lvlText w:val="•"/>
      <w:lvlJc w:val="left"/>
      <w:pPr>
        <w:ind w:left="5775" w:hanging="370"/>
      </w:pPr>
      <w:rPr>
        <w:rFonts w:hint="default"/>
        <w:lang w:val="vi" w:eastAsia="en-US" w:bidi="ar-SA"/>
      </w:rPr>
    </w:lvl>
    <w:lvl w:ilvl="7" w:tplc="B9D0D676">
      <w:numFmt w:val="bullet"/>
      <w:lvlText w:val="•"/>
      <w:lvlJc w:val="left"/>
      <w:pPr>
        <w:ind w:left="6688" w:hanging="370"/>
      </w:pPr>
      <w:rPr>
        <w:rFonts w:hint="default"/>
        <w:lang w:val="vi" w:eastAsia="en-US" w:bidi="ar-SA"/>
      </w:rPr>
    </w:lvl>
    <w:lvl w:ilvl="8" w:tplc="0F76707A">
      <w:numFmt w:val="bullet"/>
      <w:lvlText w:val="•"/>
      <w:lvlJc w:val="left"/>
      <w:pPr>
        <w:ind w:left="7601" w:hanging="370"/>
      </w:pPr>
      <w:rPr>
        <w:rFonts w:hint="default"/>
        <w:lang w:val="vi" w:eastAsia="en-US" w:bidi="ar-SA"/>
      </w:rPr>
    </w:lvl>
  </w:abstractNum>
  <w:abstractNum w:abstractNumId="5">
    <w:nsid w:val="613D327E"/>
    <w:multiLevelType w:val="hybridMultilevel"/>
    <w:tmpl w:val="737235F0"/>
    <w:lvl w:ilvl="0" w:tplc="C4429526">
      <w:start w:val="22"/>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nsid w:val="67B6787A"/>
    <w:multiLevelType w:val="hybridMultilevel"/>
    <w:tmpl w:val="1D661A34"/>
    <w:lvl w:ilvl="0" w:tplc="141A9504">
      <w:numFmt w:val="bullet"/>
      <w:lvlText w:val="-"/>
      <w:lvlJc w:val="left"/>
      <w:pPr>
        <w:ind w:left="200" w:hanging="135"/>
      </w:pPr>
      <w:rPr>
        <w:rFonts w:ascii="Times New Roman" w:eastAsia="Times New Roman" w:hAnsi="Times New Roman" w:cs="Times New Roman" w:hint="default"/>
        <w:w w:val="99"/>
        <w:sz w:val="24"/>
        <w:szCs w:val="24"/>
        <w:lang w:val="vi" w:eastAsia="en-US" w:bidi="ar-SA"/>
      </w:rPr>
    </w:lvl>
    <w:lvl w:ilvl="1" w:tplc="222E8AA4">
      <w:start w:val="2"/>
      <w:numFmt w:val="decimal"/>
      <w:lvlText w:val="%2."/>
      <w:lvlJc w:val="left"/>
      <w:pPr>
        <w:ind w:left="308" w:hanging="276"/>
        <w:jc w:val="left"/>
      </w:pPr>
      <w:rPr>
        <w:rFonts w:ascii="Times New Roman" w:eastAsia="Times New Roman" w:hAnsi="Times New Roman" w:cs="Times New Roman" w:hint="default"/>
        <w:b/>
        <w:bCs/>
        <w:w w:val="100"/>
        <w:sz w:val="24"/>
        <w:szCs w:val="24"/>
        <w:lang w:val="vi" w:eastAsia="en-US" w:bidi="ar-SA"/>
      </w:rPr>
    </w:lvl>
    <w:lvl w:ilvl="2" w:tplc="C21E917A">
      <w:start w:val="1"/>
      <w:numFmt w:val="lowerLetter"/>
      <w:lvlText w:val="%3."/>
      <w:lvlJc w:val="left"/>
      <w:pPr>
        <w:ind w:left="308" w:hanging="226"/>
        <w:jc w:val="left"/>
      </w:pPr>
      <w:rPr>
        <w:rFonts w:ascii="Times New Roman" w:eastAsia="Times New Roman" w:hAnsi="Times New Roman" w:cs="Times New Roman"/>
        <w:spacing w:val="-1"/>
        <w:w w:val="100"/>
        <w:sz w:val="24"/>
        <w:szCs w:val="24"/>
        <w:lang w:val="vi" w:eastAsia="en-US" w:bidi="ar-SA"/>
      </w:rPr>
    </w:lvl>
    <w:lvl w:ilvl="3" w:tplc="EBBE8CBA">
      <w:numFmt w:val="bullet"/>
      <w:lvlText w:val="•"/>
      <w:lvlJc w:val="left"/>
      <w:pPr>
        <w:ind w:left="2328" w:hanging="226"/>
      </w:pPr>
      <w:rPr>
        <w:rFonts w:hint="default"/>
        <w:lang w:val="vi" w:eastAsia="en-US" w:bidi="ar-SA"/>
      </w:rPr>
    </w:lvl>
    <w:lvl w:ilvl="4" w:tplc="32CAFD40">
      <w:numFmt w:val="bullet"/>
      <w:lvlText w:val="•"/>
      <w:lvlJc w:val="left"/>
      <w:pPr>
        <w:ind w:left="3342" w:hanging="226"/>
      </w:pPr>
      <w:rPr>
        <w:rFonts w:hint="default"/>
        <w:lang w:val="vi" w:eastAsia="en-US" w:bidi="ar-SA"/>
      </w:rPr>
    </w:lvl>
    <w:lvl w:ilvl="5" w:tplc="3A1CAF64">
      <w:numFmt w:val="bullet"/>
      <w:lvlText w:val="•"/>
      <w:lvlJc w:val="left"/>
      <w:pPr>
        <w:ind w:left="4356" w:hanging="226"/>
      </w:pPr>
      <w:rPr>
        <w:rFonts w:hint="default"/>
        <w:lang w:val="vi" w:eastAsia="en-US" w:bidi="ar-SA"/>
      </w:rPr>
    </w:lvl>
    <w:lvl w:ilvl="6" w:tplc="390E2838">
      <w:numFmt w:val="bullet"/>
      <w:lvlText w:val="•"/>
      <w:lvlJc w:val="left"/>
      <w:pPr>
        <w:ind w:left="5370" w:hanging="226"/>
      </w:pPr>
      <w:rPr>
        <w:rFonts w:hint="default"/>
        <w:lang w:val="vi" w:eastAsia="en-US" w:bidi="ar-SA"/>
      </w:rPr>
    </w:lvl>
    <w:lvl w:ilvl="7" w:tplc="31887662">
      <w:numFmt w:val="bullet"/>
      <w:lvlText w:val="•"/>
      <w:lvlJc w:val="left"/>
      <w:pPr>
        <w:ind w:left="6384" w:hanging="226"/>
      </w:pPr>
      <w:rPr>
        <w:rFonts w:hint="default"/>
        <w:lang w:val="vi" w:eastAsia="en-US" w:bidi="ar-SA"/>
      </w:rPr>
    </w:lvl>
    <w:lvl w:ilvl="8" w:tplc="1EE6B8CA">
      <w:numFmt w:val="bullet"/>
      <w:lvlText w:val="•"/>
      <w:lvlJc w:val="left"/>
      <w:pPr>
        <w:ind w:left="7398" w:hanging="226"/>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258AE"/>
    <w:rsid w:val="00090DB1"/>
    <w:rsid w:val="001014B9"/>
    <w:rsid w:val="00130CA9"/>
    <w:rsid w:val="001718FD"/>
    <w:rsid w:val="00203876"/>
    <w:rsid w:val="00215CA6"/>
    <w:rsid w:val="00221410"/>
    <w:rsid w:val="0025322F"/>
    <w:rsid w:val="002E67B3"/>
    <w:rsid w:val="003638DF"/>
    <w:rsid w:val="0036436F"/>
    <w:rsid w:val="0037593E"/>
    <w:rsid w:val="003F165F"/>
    <w:rsid w:val="003F23E5"/>
    <w:rsid w:val="00427FA0"/>
    <w:rsid w:val="004316AD"/>
    <w:rsid w:val="00486197"/>
    <w:rsid w:val="004C6C4D"/>
    <w:rsid w:val="004D0006"/>
    <w:rsid w:val="004E00D4"/>
    <w:rsid w:val="004E2A4A"/>
    <w:rsid w:val="004E3931"/>
    <w:rsid w:val="00553FCB"/>
    <w:rsid w:val="006879A1"/>
    <w:rsid w:val="006A5989"/>
    <w:rsid w:val="006C2C80"/>
    <w:rsid w:val="006D4A29"/>
    <w:rsid w:val="006F342F"/>
    <w:rsid w:val="007A2A5E"/>
    <w:rsid w:val="007A74E1"/>
    <w:rsid w:val="007D17A8"/>
    <w:rsid w:val="00822B2D"/>
    <w:rsid w:val="008C10DF"/>
    <w:rsid w:val="008D5296"/>
    <w:rsid w:val="00906407"/>
    <w:rsid w:val="009703F5"/>
    <w:rsid w:val="009B0308"/>
    <w:rsid w:val="009B5B87"/>
    <w:rsid w:val="00A86EBE"/>
    <w:rsid w:val="00B01023"/>
    <w:rsid w:val="00B258AE"/>
    <w:rsid w:val="00B30851"/>
    <w:rsid w:val="00B31055"/>
    <w:rsid w:val="00BB5FEF"/>
    <w:rsid w:val="00BC044D"/>
    <w:rsid w:val="00BC2D15"/>
    <w:rsid w:val="00C4193E"/>
    <w:rsid w:val="00C56B5A"/>
    <w:rsid w:val="00C62A05"/>
    <w:rsid w:val="00C70780"/>
    <w:rsid w:val="00C8572A"/>
    <w:rsid w:val="00CA0ADB"/>
    <w:rsid w:val="00CD110C"/>
    <w:rsid w:val="00D002B6"/>
    <w:rsid w:val="00D16C33"/>
    <w:rsid w:val="00DF3DE4"/>
    <w:rsid w:val="00E051BF"/>
    <w:rsid w:val="00EB6836"/>
    <w:rsid w:val="00EF49F0"/>
    <w:rsid w:val="00F16624"/>
    <w:rsid w:val="00F21AC8"/>
    <w:rsid w:val="00F30631"/>
    <w:rsid w:val="00F7510C"/>
    <w:rsid w:val="00F87412"/>
    <w:rsid w:val="00FE3560"/>
    <w:rsid w:val="00FF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 w:type="paragraph" w:styleId="BalloonText">
    <w:name w:val="Balloon Text"/>
    <w:basedOn w:val="Normal"/>
    <w:link w:val="BalloonTextChar"/>
    <w:uiPriority w:val="99"/>
    <w:semiHidden/>
    <w:unhideWhenUsed/>
    <w:rsid w:val="002E67B3"/>
    <w:rPr>
      <w:rFonts w:ascii="Tahoma" w:hAnsi="Tahoma" w:cs="Tahoma"/>
      <w:sz w:val="16"/>
      <w:szCs w:val="16"/>
    </w:rPr>
  </w:style>
  <w:style w:type="character" w:customStyle="1" w:styleId="BalloonTextChar">
    <w:name w:val="Balloon Text Char"/>
    <w:basedOn w:val="DefaultParagraphFont"/>
    <w:link w:val="BalloonText"/>
    <w:uiPriority w:val="99"/>
    <w:semiHidden/>
    <w:rsid w:val="002E67B3"/>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 w:type="paragraph" w:styleId="BalloonText">
    <w:name w:val="Balloon Text"/>
    <w:basedOn w:val="Normal"/>
    <w:link w:val="BalloonTextChar"/>
    <w:uiPriority w:val="99"/>
    <w:semiHidden/>
    <w:unhideWhenUsed/>
    <w:rsid w:val="002E67B3"/>
    <w:rPr>
      <w:rFonts w:ascii="Tahoma" w:hAnsi="Tahoma" w:cs="Tahoma"/>
      <w:sz w:val="16"/>
      <w:szCs w:val="16"/>
    </w:rPr>
  </w:style>
  <w:style w:type="character" w:customStyle="1" w:styleId="BalloonTextChar">
    <w:name w:val="Balloon Text Char"/>
    <w:basedOn w:val="DefaultParagraphFont"/>
    <w:link w:val="BalloonText"/>
    <w:uiPriority w:val="99"/>
    <w:semiHidden/>
    <w:rsid w:val="002E67B3"/>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5395">
      <w:bodyDiv w:val="1"/>
      <w:marLeft w:val="0"/>
      <w:marRight w:val="0"/>
      <w:marTop w:val="0"/>
      <w:marBottom w:val="0"/>
      <w:divBdr>
        <w:top w:val="none" w:sz="0" w:space="0" w:color="auto"/>
        <w:left w:val="none" w:sz="0" w:space="0" w:color="auto"/>
        <w:bottom w:val="none" w:sz="0" w:space="0" w:color="auto"/>
        <w:right w:val="none" w:sz="0" w:space="0" w:color="auto"/>
      </w:divBdr>
    </w:div>
    <w:div w:id="1066100534">
      <w:bodyDiv w:val="1"/>
      <w:marLeft w:val="0"/>
      <w:marRight w:val="0"/>
      <w:marTop w:val="0"/>
      <w:marBottom w:val="0"/>
      <w:divBdr>
        <w:top w:val="none" w:sz="0" w:space="0" w:color="auto"/>
        <w:left w:val="none" w:sz="0" w:space="0" w:color="auto"/>
        <w:bottom w:val="none" w:sz="0" w:space="0" w:color="auto"/>
        <w:right w:val="none" w:sz="0" w:space="0" w:color="auto"/>
      </w:divBdr>
      <w:divsChild>
        <w:div w:id="506794643">
          <w:marLeft w:val="0"/>
          <w:marRight w:val="0"/>
          <w:marTop w:val="0"/>
          <w:marBottom w:val="0"/>
          <w:divBdr>
            <w:top w:val="none" w:sz="0" w:space="0" w:color="auto"/>
            <w:left w:val="none" w:sz="0" w:space="0" w:color="auto"/>
            <w:bottom w:val="none" w:sz="0" w:space="0" w:color="auto"/>
            <w:right w:val="none" w:sz="0" w:space="0" w:color="auto"/>
          </w:divBdr>
        </w:div>
        <w:div w:id="1433545612">
          <w:marLeft w:val="0"/>
          <w:marRight w:val="0"/>
          <w:marTop w:val="0"/>
          <w:marBottom w:val="0"/>
          <w:divBdr>
            <w:top w:val="none" w:sz="0" w:space="0" w:color="auto"/>
            <w:left w:val="none" w:sz="0" w:space="0" w:color="auto"/>
            <w:bottom w:val="none" w:sz="0" w:space="0" w:color="auto"/>
            <w:right w:val="none" w:sz="0" w:space="0" w:color="auto"/>
          </w:divBdr>
          <w:divsChild>
            <w:div w:id="825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B4976-B937-4B0B-8293-CA1D681F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Thao</cp:lastModifiedBy>
  <cp:revision>52</cp:revision>
  <dcterms:created xsi:type="dcterms:W3CDTF">2023-09-13T09:00:00Z</dcterms:created>
  <dcterms:modified xsi:type="dcterms:W3CDTF">2023-09-25T08:19:00Z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2023-09-13T00:00:00Z</vt:filetime>
  </property>
</Properties>
</file>